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DSA — Begriffsbestimmungen</w:t>
      </w:r>
    </w:p>
    <w:p>
      <w:r>
        <w:rPr>
          <w:color w:val="555555"/>
          <w:sz w:val="18"/>
        </w:rPr>
        <w:t xml:space="preserve">DSA</w:t>
      </w:r>
    </w:p>
    <w:p>
      <w:r>
        <w:rPr>
          <w:color w:val="555555"/>
          <w:sz w:val="18"/>
        </w:rPr>
        <w:t xml:space="preserve">Stand: 22.07.2026 (konsolidierte Textfassung, kein amtliches Inkrafttretensdatum)</w:t>
      </w:r>
    </w:p>
    <w:p>
      <w:r>
        <w:t xml:space="preserve">Für die Zwecke dieser Verordnung bezeichnet der Ausdruck</w:t>
      </w:r>
    </w:p>
    <w:p>
      <w:r>
        <w:t xml:space="preserve">a) „Dienst der Informationsgesellschaft“ einen Dienst im Sinne des Artikels 1 Absatz 1 Buchstabe b der Richtlinie (EU) 2015/1535;</w:t>
      </w:r>
    </w:p>
    <w:p>
      <w:r>
        <w:t xml:space="preserve">b) „Nutzer“ jede natürliche oder juristische Person, die einen Vermittlungsdienst in Anspruch nimmt, insbesondere um Informationen zu erlangen oder zugänglich zu machen;</w:t>
      </w:r>
    </w:p>
    <w:p>
      <w:r>
        <w:t xml:space="preserve">c) „Verbraucher“ jede natürliche Person, die zu Zwecken handelt, die außerhalb ihrer gewerblichen, geschäftlichen, handwerklichen oder beruflichen Tätigkeit liegen;</w:t>
      </w:r>
    </w:p>
    <w:p>
      <w:r>
        <w:t xml:space="preserve">d) „in der Union Dienstleistungen anbieten“ die Schaffung der Möglichkeit für natürliche oder juristische Personen in einem oder mehreren Mitgliedstaaten zur Nutzung der Dienste eines Anbieters von Vermittlungsdiensten, der eine wesentliche Verbindung zur Union hat;</w:t>
      </w:r>
    </w:p>
    <w:p>
      <w:r>
        <w:t xml:space="preserve">e) „wesentliche Verbindung zur Union“ eine Verbindung eines Anbieters von Vermittlungsdiensten mit der Union entweder aufgrund seiner Niederlassung in der Union oder anhand besonderer faktischer Kriterien wie</w:t>
      </w:r>
    </w:p>
    <w:p>
      <w:r>
        <w:t xml:space="preserve">— einer erheblichen Zahl von Nutzern in einem oder mehreren Mitgliedstaaten im Verhältnis zu dessen oder deren Bevölkerung; oder</w:t>
      </w:r>
    </w:p>
    <w:p>
      <w:r>
        <w:t xml:space="preserve">— der Ausrichtung von Tätigkeiten auf einen oder mehrere Mitgliedstaaten;</w:t>
      </w:r>
    </w:p>
    <w:p>
      <w:r>
        <w:t xml:space="preserve">f) „Unternehmer“ jede natürliche oder juristische Person, unabhängig davon, ob sie in privatem oder öffentlichem Eigentum steht, die für die Zwecke ihrer gewerblichen, geschäftlichen, handwerklichen oder beruflichen Tätigkeit entweder selbst oder durch eine andere in ihrem Namen oder Auftrag handelnde Person tätig wird;</w:t>
      </w:r>
    </w:p>
    <w:p>
      <w:r>
        <w:t xml:space="preserve">g) „Vermittlungsdienst“ eine der folgenden Dienstleistungen der Informationsgesellschaft:</w:t>
      </w:r>
    </w:p>
    <w:p>
      <w:r>
        <w:t xml:space="preserve">i) eine „reine Durchleitung“, die darin besteht, von einem Nutzer bereitgestellte Informationen in einem Kommunikationsnetz zu übermitteln oder den Zugang zu einem Kommunikationsnetz zu vermitteln,</w:t>
      </w:r>
    </w:p>
    <w:p>
      <w:r>
        <w:t xml:space="preserve">ii) eine „Caching“-Leistung, die darin besteht, von einem Nutzer bereitgestellte Informationen in einem Kommunikationsnetz zu übermitteln, wobei eine automatische, zeitlich begrenzte Zwischenspeicherung dieser Informationen zu dem alleinigen Zweck erfolgt, die Übermittlung der Information an andere Nutzer auf deren Anfrage effizienter zu gestalten,</w:t>
      </w:r>
    </w:p>
    <w:p>
      <w:r>
        <w:t xml:space="preserve">iii) ein „Hosting“-Dienst, der darin besteht, von einem Nutzer bereitgestellte Informationen in dessen Auftrag zu speichern;</w:t>
      </w:r>
    </w:p>
    <w:p>
      <w:r>
        <w:t xml:space="preserve">h) „rechtswidrige Inhalte“ alle Informationen, die als solche oder durch ihre Bezugnahme auf eine Tätigkeit, einschließlich des Verkaufs von Produkten oder der Erbringung von Dienstleistungen, nicht im Einklang mit dem Unionsrecht oder dem Recht eines Mitgliedstaats stehen, ungeachtet des genauen Gegenstands oder der Art der betreffenden Rechtsvorschriften;</w:t>
      </w:r>
    </w:p>
    <w:p>
      <w:r>
        <w:t xml:space="preserve">i) „Online-Plattform“ einen Hostingdienst, der im Auftrag eines Nutzers Informationen speichert und öffentlich verbreitet, sofern es sich bei dieser Tätigkeit nicht nur um eine unbedeutende und reine Nebenfunktion eines anderen Dienstes oder um eine unbedeutende Funktion des Hauptdienstes handelt, die aus objektiven und technischen Gründen nicht ohne diesen anderen Dienst genutzt werden kann, und sofern die Integration der Funktion der Nebenfunktion oder der unbedeutenden Funktion in den anderen Dienst nicht dazu dient, die Anwendbarkeit dieser Verordnung zu umgehen;</w:t>
      </w:r>
    </w:p>
    <w:p>
      <w:r>
        <w:t xml:space="preserve">j) „Online-Suchmaschine“ einen Vermittlungsdienst, der es Nutzern ermöglicht, in Form eines Stichworts, einer Spracheingabe, einer Wortgruppe oder einer anderen Eingabe Anfragen einzugeben, um prinzipiell auf allen Websites oder auf allen Websites in einer bestimmten Sprache eine Suche zu einem beliebigen Thema vorzunehmen und Ergebnisse in einem beliebigen Format, in dem Informationen im Zusammenhang mit dem angeforderten Inhalt zu finden sind, angezeigt zu bekommen;</w:t>
      </w:r>
    </w:p>
    <w:p>
      <w:r>
        <w:t xml:space="preserve">k) „öffentliche Verbreitung“ die Bereitstellung von Informationen für eine potenziell unbegrenzte Zahl von Dritten im Auftrag des Nutzers, der die Informationen bereitgestellt hat;</w:t>
      </w:r>
    </w:p>
    <w:p>
      <w:r>
        <w:t xml:space="preserve">l) „Fernabsatzvertrag“ einen Fernabsatzvertrag im Sinne des Artikels 2 Nummer 7 der Richtlinie 2011/83/EU;</w:t>
      </w:r>
    </w:p>
    <w:p>
      <w:r>
        <w:t xml:space="preserve">m) „Online-Schnittstelle“ eine Software, darunter auch Websites oder Teile davon sowie Anwendungen, einschließlich Mobil-Apps;</w:t>
      </w:r>
    </w:p>
    <w:p>
      <w:r>
        <w:t xml:space="preserve">n) „Koordinator für digitale Dienste am Niederlassungsort“ den Koordinator für digitale Dienste des Mitgliedstaats, in dem sich der Hauptsitz eines Anbieters eines Vermittlungsdienstes befindet oder in dem sein gesetzlicher Vertreter ansässig oder niedergelassen ist;</w:t>
      </w:r>
    </w:p>
    <w:p>
      <w:r>
        <w:t xml:space="preserve">o) „Koordinator für digitale Dienste am Bestimmungsort“ den Koordinator für digitale Dienste eines Mitgliedstaats, in dem der Vermittlungsdienst erbracht wird;</w:t>
      </w:r>
    </w:p>
    <w:p>
      <w:r>
        <w:t xml:space="preserve">p) „aktiver Nutzer einer Online-Plattform“ einen Nutzer des Dienstes, der eine Online-Plattform nutzt, indem er die Online-Plattform damit beauftragt, Informationen zur Verfügung zu stellen, oder der den Inhalten der Online-Plattform ausgesetzt ist, die diese zur Verfügung stellt und über ihre Online-Schnittstelle verbreitet;</w:t>
      </w:r>
    </w:p>
    <w:p>
      <w:r>
        <w:t xml:space="preserve">q) „aktiver Nutzer einer Online-Suchmaschine“ einen Nutzer des Dienstes, der eine Suchanfrage an eine Online-Suchmaschine stellt und dem auf ihrer Online-Schnittstelle dargestellten indexierten Informationen ausgesetzt ist;</w:t>
      </w:r>
    </w:p>
    <w:p>
      <w:r>
        <w:t xml:space="preserve">r) „Werbung“ Informationen, die dazu bestimmt sind, die Botschaft einer juristischen oder natürlichen Person zu verbreiten, unabhängig davon, ob damit gewerbliche oder nichtgewerbliche Zwecke verfolgt werden, und die von einer Online-Plattform auf ihrer Online-Schnittstelle gegen Entgelt speziell zur Bekanntmachung dieser Informationen dargestellt werden;</w:t>
      </w:r>
    </w:p>
    <w:p>
      <w:r>
        <w:t xml:space="preserve">s) „Empfehlungssystem“ ein vollständig oder teilweise automatisiertes System, das von einer Online-Plattform verwendet wird, um auf ihrer Online-Schnittstelle den Nutzern bestimmte Informationen vorzuschlagen oder diese Informationen zu priorisieren, auch infolge einer vom Nutzer veranlassten Suche, oder das auf andere Weise die relative Reihenfolge oder Hervorhebung der angezeigten Informationen bestimmt;</w:t>
      </w:r>
    </w:p>
    <w:p>
      <w:r>
        <w:t xml:space="preserve">t) „Moderation von Inhalten“ die – automatisierten oder nicht automatisierten – Tätigkeiten der Anbieter von Vermittlungsdiensten, mit denen insbesondere rechtswidrige Inhalte oder Informationen, die von Nutzern bereitgestellt werden und mit den allgemeinen Geschäftsbedingungen des Anbieters unvereinbar sind, erkannt, festgestellt und bekämpft werden sollen, darunter auch Maßnahmen in Bezug auf die Verfügbarkeit, Anzeige und Zugänglichkeit der rechtswidrigen Inhalte oder Informationen, z. B. Herabstufung, Demonetisierung, Sperrung des Zugangs oder Entfernung, oder in Bezug auf die Fähigkeit der Nutzer, solche Informationen bereitzustellen, z. B. Schließung oder Aussetzung des Kontos eines Nutzers;</w:t>
      </w:r>
    </w:p>
    <w:p>
      <w:r>
        <w:t xml:space="preserve">u) „allgemeine Geschäftsbedingungen“ alle Klauseln, ungeachtet ihrer Bezeichnung oder Form, die die vertraglichen Beziehungen zwischen dem Anbieter von Vermittlungsdiensten und den Nutzern regeln;</w:t>
      </w:r>
    </w:p>
    <w:p>
      <w:r>
        <w:t xml:space="preserve">v) „Menschen mit Behinderungen“ Menschen mit Behinderungen gemäß Artikel 3 Nummer 1 der Richtlinie (EU) 2019/882 des Europäischen Parlaments und des Rates ( 1 );</w:t>
      </w:r>
    </w:p>
    <w:p>
      <w:r>
        <w:t xml:space="preserve">w) „kommerzielle Kommunikation“ kommerzielle Kommunikation im Sinne von Artikel 2 Buchstabe f der Richtlinie 2000/31/EG;</w:t>
      </w:r>
    </w:p>
    <w:p>
      <w:r>
        <w:t xml:space="preserve">x) „Umsatz“ die von einem Unternehmen im Sinne von Artikel 5 Absatz 1 der Verordnung (EG) Nr. 139/2004 des Rates ( 2 ) erzielten Umsätze.</w:t>
      </w:r>
    </w:p>
    <w:p>
      <w:r>
        <w:rPr>
          <w:color w:val="555555"/>
          <w:sz w:val="17"/>
        </w:rPr>
        <w:t xml:space="preserve">Zitiervorschlag: Art 3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