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25 DSA — Gestaltung und Organisation der Online-Schnittstelle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 Die Kommission kann Leitlinien für die Anwendung von Absatz 1 auf eine bestimmte Praxis herausgeben, insbesondere in Bezug darauf,</w:t>
      </w:r>
    </w:p>
    <w:p>
      <w:r>
        <w:t xml:space="preserve">a) dass bestimmte Auswahlmöglichkeiten stärker hervorgehoben werden, wenn der Nutzer eine Entscheidung treffen muss,</w:t>
      </w:r>
    </w:p>
    <w:p>
      <w:r>
        <w:t xml:space="preserve">b) dass der Nutzer wiederholt aufgefordert wird, eine Auswahl zu treffen, obwohl eine solche Auswahl bereits getroffen wurde, insbesondere durch die Einblendung eines Fensters, mit der die Nutzererfahrung beeinträchtigt wird,</w:t>
      </w:r>
    </w:p>
    <w:p>
      <w:r>
        <w:t xml:space="preserve">c) dass das Verfahren zur Beendigung eines Dienstes schwieriger als das Verfahren zur Anmeldung bei diesem Dienst gestaltet wird.</w:t>
      </w:r>
    </w:p>
    <w:p>
      <w:r>
        <w:rPr>
          <w:color w:val="555555"/>
          <w:sz w:val="17"/>
        </w:rPr>
        <w:t xml:space="preserve">Zitiervorschlag: Art 25 DSA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