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DRiG — Auszug aus EinigVtr Anlage I Kapitel III Sachgebiet A Abschnitte III und IV (BGBl. II 1990, 889, 929, 939) Abschnitt III - Maßgaben für die beigetretenen fünf Länder (Art. 1 Abs. 1 EinigVtr) - Abschnitt IV - Maßgaben für das Land Berlin -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... vorbehaltlich der Sonderregelung für das Land Berlin in Abschnitt IV in dem in Artikel 3 des Vertrages genannten Gebiet mit folgenden Maßgaben in Kraft: ...</w:t>
      </w:r>
    </w:p>
    <w:p>
      <w:pPr>
        <w:ind w:left="420"/>
      </w:pPr>
      <w:r>
        <w:t xml:space="preserve">8. Deutsches Richtergesetz in der Fassung der Bekanntmachung vom 19. April 1972 (BGBl. I S. 713), zuletzt geändert durch Artikel 4 des Gesetzes vom 26. Juni 1990 (BGBl. I S. 1206),mit folgenden Maßgaben:</w:t>
      </w:r>
    </w:p>
    <w:p>
      <w:pPr>
        <w:ind w:left="780"/>
      </w:pPr>
      <w:r>
        <w:t xml:space="preserve">a) bis x) (nicht mehr anzuwenden)</w:t>
      </w:r>
    </w:p>
    <w:p>
      <w:pPr>
        <w:ind w:left="780"/>
      </w:pPr>
      <w:r>
        <w:t xml:space="preserve">y) Für das in Artikel 1 Abs. 1 des Vertrages genannte Gebiet gelten folgende Überleitungsvorschriften:</w:t>
      </w:r>
    </w:p>
    <w:p>
      <w:pPr>
        <w:ind w:left="1140"/>
      </w:pPr>
      <w:r>
        <w:t xml:space="preserve">aa) bis ii) (nicht mehr anzuwenden)</w:t>
      </w:r>
    </w:p>
    <w:p>
      <w:pPr>
        <w:ind w:left="1140"/>
      </w:pPr>
      <w:r>
        <w:t xml:space="preserve">jj) Ein an der Juristischen Hochschule Potsdam-Eiche oder einer vergleichbaren Einrichtung erworbener Abschluß berechtigt nicht zur Aufnahme eines gesetzlich geregelten juristischen Berufs.</w:t>
      </w:r>
    </w:p>
    <w:p>
      <w:pPr>
        <w:ind w:left="780"/>
      </w:pPr>
      <w:r>
        <w:t xml:space="preserve">z) Für Staatsanwälte gilt folgendes:</w:t>
      </w:r>
    </w:p>
    <w:p>
      <w:pPr>
        <w:ind w:left="1140"/>
      </w:pPr>
      <w:r>
        <w:t xml:space="preserve">aa) u. bb) (nicht mehr anzuwenden)</w:t>
      </w:r>
    </w:p>
    <w:p>
      <w:pPr>
        <w:ind w:left="1140"/>
      </w:pPr>
      <w:r>
        <w:t xml:space="preserve">cc) Im übrigen gelten die Maßgaben a), b), c), e), h), k), p), q), v), w), y)aa), y)bb), y)ee), y)ff) und y)jj) sinngemäß.</w:t>
      </w:r>
    </w:p>
    <w:p>
      <w:r>
        <w:t xml:space="preserve">...</w:t>
      </w:r>
    </w:p>
    <w:p>
      <w:pPr>
        <w:ind w:left="420"/>
      </w:pPr>
      <w:r>
        <w:t xml:space="preserve">28. (nicht mehr anzuwenden)</w:t>
      </w:r>
    </w:p>
    <w:p>
      <w:r>
        <w:t xml:space="preserve">Abschnitt IV ...</w:t>
      </w:r>
    </w:p>
    <w:p>
      <w:pPr>
        <w:ind w:left="420"/>
      </w:pPr>
      <w:r>
        <w:t xml:space="preserve">3. Für folgende in Abschnitt III genannte Rechtsvorschriften gelten im Land Berlin folgende Besonderheiten:...b) (nicht mehr anzuwenden)...</w:t>
      </w:r>
    </w:p>
    <w:p>
      <w:pPr>
        <w:ind w:left="780"/>
      </w:pPr>
      <w:r>
        <w:t xml:space="preserve">j) (nicht mehr anzuwenden)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