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 DRiG — Voraussetzungen für die Berufungen</w:t>
      </w:r>
    </w:p>
    <w:p>
      <w:r>
        <w:rPr>
          <w:color w:val="555555"/>
          <w:sz w:val="18"/>
        </w:rPr>
        <w:t xml:space="preserve">Deutsches Richtergesetz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In das Richterverhältnis darf nur berufen werden, wer</w:t>
      </w:r>
    </w:p>
    <w:p>
      <w:pPr>
        <w:ind w:left="420"/>
      </w:pPr>
      <w:r>
        <w:t xml:space="preserve">1. Deutscher im Sinne des Artikels 116 des Grundgesetzes ist,</w:t>
      </w:r>
    </w:p>
    <w:p>
      <w:pPr>
        <w:ind w:left="420"/>
      </w:pPr>
      <w:r>
        <w:t xml:space="preserve">2. die Gewähr dafür bietet, dass er jederzeit für die freiheitliche demokratische Grundordnung im Sinne des Grundgesetzes eintritt,</w:t>
      </w:r>
    </w:p>
    <w:p>
      <w:pPr>
        <w:ind w:left="420"/>
      </w:pPr>
      <w:r>
        <w:t xml:space="preserve">3. die Befähigung zum Richteramt besitzt (§§ 5 bis 7) und</w:t>
      </w:r>
    </w:p>
    <w:p>
      <w:pPr>
        <w:ind w:left="420"/>
      </w:pPr>
      <w:r>
        <w:t xml:space="preserve">4. über die erforderliche soziale Kompetenz verfügt.</w:t>
      </w:r>
    </w:p>
    <w:p>
      <w:r>
        <w:rPr>
          <w:color w:val="555555"/>
          <w:sz w:val="17"/>
        </w:rPr>
        <w:t xml:space="preserve">Zitiervorschlag: § 9 DRiG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https://recht.nulegal.eu/gesetze/DRiG/9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