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DRiG — Revisionsverfahren im Disziplinarverfahren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Die Revision ist bei dem Gericht, dessen Urteil angefochten wird, innerhalb zweier Wochen nach Zustellung des Urteils oder nach Zustellung des Beschlusses über die Zulassung der Revision schriftlich oder durch schriftlich aufzunehmende Erklärung vor der Geschäftsstelle einzulegen und spätestens innerhalb zweier weiterer Wochen zu begründen. In der Begründung ist anzugeben, inwieweit das Urteil angefochten wird, welche Änderungen des Urteils beantragt und wie diese Anträge begründet werden. § 80 Abs. 3 gilt entsprechend.</w:t>
      </w:r>
    </w:p>
    <w:p>
      <w:r>
        <w:t xml:space="preserve">(2) Das Dienstgericht des Bundes ist an die in dem angefochtenen Urteil getroffenen tatsächlichen Feststellungen gebunden, es sei denn, daß zulässige und begründete Revisionsgründe gegen diese Feststellungen vorgebracht sind.</w:t>
      </w:r>
    </w:p>
    <w:p>
      <w:r>
        <w:t xml:space="preserve">(3) § 144 Abs. 1 und § 158 Abs. 1 der Verwaltungsgerichtsordnung gelten sinngemäß. Das Urteil kann nur auf Zurückweisung der Revision oder auf Aufhebung des angefochtenen Urteils lauten.</w:t>
      </w:r>
    </w:p>
    <w:p>
      <w:r>
        <w:rPr>
          <w:color w:val="555555"/>
          <w:sz w:val="17"/>
        </w:rPr>
        <w:t xml:space="preserve">Zitiervorschlag: § 82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