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DRiG — Revision im Versetzungsverfahren und im Prüfungsverfahren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die Revision im Versetzungsverfahren und im Prüfungsverfahren gelten die Vorschriften der Verwaltungsgerichtsordnung sinngemäß. Der Vertreter des Bundesinteresses beim Bundesverwaltungsgericht wirkt an dem Verfahren nicht mit.</w:t>
      </w:r>
    </w:p>
    <w:p>
      <w:r>
        <w:t xml:space="preserve">(2) Die Revision ist stets zuzulassen.</w:t>
      </w:r>
    </w:p>
    <w:p>
      <w:r>
        <w:t xml:space="preserve">(3) Die Revision kann nur darauf gestützt werden, daß das Urteil auf der Nichtanwendung oder unrichtigen Anwendung einer Rechtsnorm beruht.</w:t>
      </w:r>
    </w:p>
    <w:p>
      <w:r>
        <w:rPr>
          <w:color w:val="555555"/>
          <w:sz w:val="17"/>
        </w:rPr>
        <w:t xml:space="preserve">Zitiervorschlag: § 80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