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DRiG — Rechtszug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Das Verfahren vor den Dienstgerichten besteht aus mindestens zwei Rechtszügen.</w:t>
      </w:r>
    </w:p>
    <w:p>
      <w:r>
        <w:t xml:space="preserve">(2) In den Fällen des § 78 Nr. 2, 3 und 4 steht den Beteiligten die Revision an das Dienstgericht des Bundes nach Maßgabe des § 80 zu.</w:t>
      </w:r>
    </w:p>
    <w:p>
      <w:r>
        <w:t xml:space="preserve">(3) Die Landesgesetzgebung kann in den Fällen des § 78 Nr. 1 die Revision an das Dienstgericht des Bundes vorsehen.</w:t>
      </w:r>
    </w:p>
    <w:p>
      <w:r>
        <w:rPr>
          <w:color w:val="555555"/>
          <w:sz w:val="17"/>
        </w:rPr>
        <w:t xml:space="preserve">Zitiervorschlag: § 79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