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 DRiG — Altersgrenzen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Richter auf Lebenszeit treten nach Erreichen der Altersgrenze in den Ruhestand (Regelaltersgrenze).</w:t>
      </w:r>
    </w:p>
    <w:p>
      <w:r>
        <w:t xml:space="preserve">(2) Durch Gesetz können besondere Altersgrenzen bestimmt werden, bei deren Erreichen der Richter auf seinen Antrag in den Ruhestand zu versetzen ist.</w:t>
      </w:r>
    </w:p>
    <w:p>
      <w:r>
        <w:rPr>
          <w:color w:val="555555"/>
          <w:sz w:val="17"/>
        </w:rPr>
        <w:t xml:space="preserve">Zitiervorschlag: § 76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