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DRiG — Aufgaben des Richterrats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Richterrat hat mindestens folgende Aufgaben:</w:t>
      </w:r>
    </w:p>
    <w:p>
      <w:pPr>
        <w:ind w:left="420"/>
      </w:pPr>
      <w:r>
        <w:t xml:space="preserve">1. Beteiligung an allgemeinen und sozialen Angelegenheiten der Richter,</w:t>
      </w:r>
    </w:p>
    <w:p>
      <w:pPr>
        <w:ind w:left="420"/>
      </w:pPr>
      <w:r>
        <w:t xml:space="preserve">2. gemeinsame Beteiligung mit der Personalvertretung an allgemeinen und sozialen Angelegenheiten, die sowohl Richter als auch Bedienstete des Gerichts betreffen.</w:t>
      </w:r>
    </w:p>
    <w:p>
      <w:r>
        <w:rPr>
          <w:color w:val="555555"/>
          <w:sz w:val="17"/>
        </w:rPr>
        <w:t xml:space="preserve">Zitiervorschlag: § 73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