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DRiG — Beschränkte Geltung dieses Gesetzes</w:t>
      </w:r>
    </w:p>
    <w:p>
      <w:r>
        <w:rPr>
          <w:color w:val="555555"/>
          <w:sz w:val="18"/>
        </w:rPr>
        <w:t xml:space="preserve">Deutsches Richtergesetz</w:t>
      </w:r>
    </w:p>
    <w:p>
      <w:r>
        <w:rPr>
          <w:color w:val="555555"/>
          <w:sz w:val="18"/>
        </w:rPr>
        <w:t xml:space="preserve">Stand: 01.08.2021 (konsolidierte Textfassung, kein amtliches Inkrafttretensdatum)</w:t>
      </w:r>
    </w:p>
    <w:p>
      <w:r>
        <w:t xml:space="preserve">Für die Richter des Bundesverfassungsgerichts gelten die Vorschriften dieses Gesetzes nur, soweit sie mit der besonderen Rechtsstellung dieser Richter nach dem Grundgesetz und nach dem Gesetz über das Bundesverfassungsgericht vereinbar sind.</w:t>
      </w:r>
    </w:p>
    <w:p>
      <w:r>
        <w:rPr>
          <w:color w:val="555555"/>
          <w:sz w:val="17"/>
        </w:rPr>
        <w:t xml:space="preserve">Zitiervorschlag: § 69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