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DRiG — Urteilsformel im Prüfungsverfahren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In dem Fall des § 62 Abs. 1 Nr. 3 Buchstabe a stellt das Gericht die Nichtigkeit fest oder weist den Antrag zurück.</w:t>
      </w:r>
    </w:p>
    <w:p>
      <w:r>
        <w:t xml:space="preserve">(2) In den Fällen des § 62 Abs. 1 Nr. 3 Buchstaben b bis d stellt das Gericht die Zulässigkeit der Maßnahme oder die Entlassung fest oder weist den Antrag zurück.</w:t>
      </w:r>
    </w:p>
    <w:p>
      <w:r>
        <w:t xml:space="preserve">(3) In den Fällen des § 62 Abs. 1 Nr. 4 Buchstaben a bis d hebt das Gericht die angefochtene Maßnahme auf oder weist den Antrag zurück.</w:t>
      </w:r>
    </w:p>
    <w:p>
      <w:r>
        <w:t xml:space="preserve">(4) In dem Fall des § 62 Abs. 1 Nr. 4 Buchstabe e stellt das Gericht die Unzulässigkeit der Maßnahme fest oder weist den Antrag zurück.</w:t>
      </w:r>
    </w:p>
    <w:p>
      <w:r>
        <w:rPr>
          <w:color w:val="555555"/>
          <w:sz w:val="17"/>
        </w:rPr>
        <w:t xml:space="preserve">Zitiervorschlag: § 67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