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65 DRiG — Versetzungsverfahren</w:t>
      </w:r>
    </w:p>
    <w:p>
      <w:r>
        <w:rPr>
          <w:color w:val="555555"/>
          <w:sz w:val="18"/>
        </w:rPr>
        <w:t xml:space="preserve">Deutsches Richtergesetz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(1) Für das Verfahren bei Versetzung im Interesse der Rechtspflege (Versetzungsverfahren) gelten die Vorschriften der Verwaltungsgerichtsordnung sinngemäß.</w:t>
      </w:r>
    </w:p>
    <w:p>
      <w:r>
        <w:t xml:space="preserve">(2) Das Verfahren wird durch einen Antrag der obersten Dienstbehörde eingeleitet. Ein Vorverfahren findet nicht statt. Der Vertreter des Bundesinteresses beim Bundesverwaltungsgericht wirkt an dem Verfahren nicht mit.</w:t>
      </w:r>
    </w:p>
    <w:p>
      <w:r>
        <w:t xml:space="preserve">(3) Das Gericht erklärt eine der in § 31 vorgesehenen Maßnahmen für zulässig oder weist den Antrag zurück.</w:t>
      </w:r>
    </w:p>
    <w:p>
      <w:r>
        <w:rPr>
          <w:color w:val="555555"/>
          <w:sz w:val="17"/>
        </w:rPr>
        <w:t xml:space="preserve">Zitiervorschlag: § 65 DRiG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https://recht.nulegal.eu/gesetze/DRiG/65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