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DRiG — Rechtsweg in Angelegenheiten der Richtervertretungen</w:t>
      </w:r>
    </w:p>
    <w:p>
      <w:r>
        <w:rPr>
          <w:color w:val="555555"/>
          <w:sz w:val="18"/>
        </w:rPr>
        <w:t xml:space="preserve">Deutsches Richtergesetz</w:t>
      </w:r>
    </w:p>
    <w:p>
      <w:r>
        <w:rPr>
          <w:color w:val="555555"/>
          <w:sz w:val="18"/>
        </w:rPr>
        <w:t xml:space="preserve">Stand: 01.08.2021 (konsolidierte Textfassung, kein amtliches Inkrafttretensdatum)</w:t>
      </w:r>
    </w:p>
    <w:p>
      <w:r>
        <w:t xml:space="preserve">Für Rechtsstreitigkeiten aus der Bildung oder Tätigkeit der Richtervertretungen steht der Rechtsweg zu den Verwaltungsgerichten offen. Das Verwaltungsgericht entscheidet bei Rechtsstreitigkeiten aus der gemeinsamen Beteiligung von Richterrat und Personalvertretung (§ 53 Abs. 1) nach den Verfahrensvorschriften und in der Besetzung des § 108 Absatz 2 und § 109 des Bundespersonalvertretungsgesetzes vom 9. Juni 2021 (BGBl. I S. 1614).</w:t>
      </w:r>
    </w:p>
    <w:p>
      <w:r>
        <w:rPr>
          <w:color w:val="555555"/>
          <w:sz w:val="17"/>
        </w:rPr>
        <w:t xml:space="preserve">Zitiervorschlag: § 60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