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DRiG — Anerkennung von Prüfungen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Zulassung zum Vorbereitungsdienst darf einem Bewerber nicht deswegen versagt werden, weil er die universitäre Schwerpunktbereichsprüfung oder die staatliche Pflichtfachprüfung nach § 5 in einem anderen Land im Geltungsbereich dieses Gesetzes abgelegt hat. Die in einem Land im Geltungsbereich dieses Gesetzes auf den Vorbereitungsdienst verwendete Zeit ist in jedem deutschen Land anzurechnen.</w:t>
      </w:r>
    </w:p>
    <w:p>
      <w:r>
        <w:t xml:space="preserve">(2) Wer im Geltungsbereich dieses Gesetzes die Befähigung zum Richteramt nach § 5 erworben hat, ist im Bund und in jedem deutschen Land zum Richteramt befähigt.</w:t>
      </w:r>
    </w:p>
    <w:p>
      <w:r>
        <w:rPr>
          <w:color w:val="555555"/>
          <w:sz w:val="17"/>
        </w:rPr>
        <w:t xml:space="preserve">Zitiervorschlag: § 6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