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DRiG — Geschäftsführung, Rechtsstellung der Mitglieder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Richtervertretungen regeln ihre Beschlußfassung und Geschäftsführung in einer Geschäftsordnung.</w:t>
      </w:r>
    </w:p>
    <w:p>
      <w:r>
        <w:t xml:space="preserve">(2) Die Kosten der Richtervertretungen fallen dem Haushalt der Gerichte zur Last. Die Gerichtsverwaltung stellt Räume und Geschäftsbedarf zur Verfügung.</w:t>
      </w:r>
    </w:p>
    <w:p>
      <w:r>
        <w:t xml:space="preserve">(3) Die Mitgliedschaft in der Richtervertretung ist ein Ehrenamt. Für die Rechte und Pflichten der Mitglieder gelten die §§ 10 bis 12 und §§ 52 bis 55 Absatz 2 des Bundespersonalvertretungsgesetzes vom 9. Juni 2021 (BGBl. I S. 1614) entsprechend.</w:t>
      </w:r>
    </w:p>
    <w:p>
      <w:r>
        <w:rPr>
          <w:color w:val="555555"/>
          <w:sz w:val="17"/>
        </w:rPr>
        <w:t xml:space="preserve">Zitiervorschlag: § 58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