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DRiG — Stellungnahme des Präsidialrats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Präsidialrat gibt eine schriftlich begründete Stellungnahme ab über die persönliche und fachliche Eignung des Bewerbers oder Richters. Die Stellungnahme ist zu den Personalakten zu nehmen.</w:t>
      </w:r>
    </w:p>
    <w:p>
      <w:r>
        <w:t xml:space="preserve">(2) Der Präsidialrat hat seine Stellungnahme binnen eines Monats abzugeben.</w:t>
      </w:r>
    </w:p>
    <w:p>
      <w:r>
        <w:t xml:space="preserve">(3) Ein Richter darf erst ernannt oder gewählt werden, wenn die Stellungnahme des Präsidialrats vorliegt oder die Frist des Absatzes 2 verstrichen ist.</w:t>
      </w:r>
    </w:p>
    <w:p>
      <w:r>
        <w:rPr>
          <w:color w:val="555555"/>
          <w:sz w:val="17"/>
        </w:rPr>
        <w:t xml:space="preserve">Zitiervorschlag: § 57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