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DRiG — Einleitung der Beteiligung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oberste Dienstbehörde beantragt die Stellungnahme des Präsidialrats. Dem Antrag sind die Bewerbungsunterlagen und die Personal- und Befähigungsnachweise beizufügen. Personalakten dürfen nur mit Zustimmung des Bewerbers oder Richters vorgelegt werden.</w:t>
      </w:r>
    </w:p>
    <w:p>
      <w:r>
        <w:t xml:space="preserve">(2) Auf Ersuchen eines Mitglieds eines Richterwahlausschusses hat die oberste Dienstbehörde die Stellungnahme zu beantragen.</w:t>
      </w:r>
    </w:p>
    <w:p>
      <w:r>
        <w:rPr>
          <w:color w:val="555555"/>
          <w:sz w:val="17"/>
        </w:rPr>
        <w:t xml:space="preserve">Zitiervorschlag: § 56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