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DRiG — Befähigung zum Richteramt</w:t>
      </w:r>
    </w:p>
    <w:p>
      <w:r>
        <w:rPr>
          <w:color w:val="555555"/>
          <w:sz w:val="18"/>
        </w:rPr>
        <w:t xml:space="preserve">Deutsches Richtergesetz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Befähigung zum Richteramt erwirbt, wer ein rechtswissenschaftliches Studium an einer Universität mit der ersten Prüfung und einen anschließenden Vorbereitungsdienst mit der zweiten Staatsprüfung abschließt; die erste Prüfung besteht aus einer universitären Schwerpunktbereichsprüfung und einer staatlichen Pflichtfachprüfung.</w:t>
      </w:r>
    </w:p>
    <w:p>
      <w:r>
        <w:t xml:space="preserve">(2) Studium und Vorbereitungsdienst sind inhaltlich aufeinander abzustimmen.</w:t>
      </w:r>
    </w:p>
    <w:p>
      <w:r>
        <w:rPr>
          <w:color w:val="555555"/>
          <w:sz w:val="17"/>
        </w:rPr>
        <w:t xml:space="preserve">Zitiervorschlag: § 5 DRiG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https://recht.nulegal.eu/gesetze/DRiG/5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