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DRiG — Richterrat und Präsidialrat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Bei den Gerichten des Bundes werden als Richtervertretungen errichtet</w:t>
      </w:r>
    </w:p>
    <w:p>
      <w:pPr>
        <w:ind w:left="420"/>
      </w:pPr>
      <w:r>
        <w:t xml:space="preserve">1. Richterräte für die Beteiligung an allgemeinen und sozialen Angelegenheiten,</w:t>
      </w:r>
    </w:p>
    <w:p>
      <w:pPr>
        <w:ind w:left="420"/>
      </w:pPr>
      <w:r>
        <w:t xml:space="preserve">2. Präsidialräte für die Beteiligung an der Ernennung eines Richters.</w:t>
      </w:r>
    </w:p>
    <w:p>
      <w:r>
        <w:rPr>
          <w:color w:val="555555"/>
          <w:sz w:val="17"/>
        </w:rPr>
        <w:t xml:space="preserve">Zitiervorschlag: § 49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