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DRiG — Bestellung und Abberufung des ehrenamtlichen Richters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Ehrenamtliche Richter dürfen bei einem Gericht nur auf Grund eines Gesetzes und unter den gesetzlich bestimmten Voraussetzungen tätig werden.</w:t>
      </w:r>
    </w:p>
    <w:p>
      <w:r>
        <w:t xml:space="preserve">(1a) In den Verfahren zur Wahl, Ernennung oder Berufung ehrenamtlicher Richter sollen Frauen und Männer angemessen berücksichtigt werden.</w:t>
      </w:r>
    </w:p>
    <w:p>
      <w:r>
        <w:t xml:space="preserve">(2) Ein ehrenamtlicher Richter kann vor Ablauf seiner Amtszeit nur unter den gesetzlich bestimmten Voraussetzungen und gegen seinen Willen nur durch Entscheidung eines Gerichts abberufen werden.</w:t>
      </w:r>
    </w:p>
    <w:p>
      <w:r>
        <w:rPr>
          <w:color w:val="555555"/>
          <w:sz w:val="17"/>
        </w:rPr>
        <w:t xml:space="preserve">Zitiervorschlag: § 44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