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43 DRiG — Beratungsgeheimnis</w:t>
      </w:r>
    </w:p>
    <w:p>
      <w:r>
        <w:rPr>
          <w:color w:val="555555"/>
          <w:sz w:val="18"/>
        </w:rPr>
        <w:t xml:space="preserve">Deutsches Richtergesetz</w:t>
      </w:r>
    </w:p>
    <w:p>
      <w:r>
        <w:rPr>
          <w:color w:val="555555"/>
          <w:sz w:val="18"/>
        </w:rPr>
        <w:t xml:space="preserve">Stand: 01.08.2021 (konsolidierte Textfassung, kein amtliches Inkrafttretensdatum)</w:t>
      </w:r>
    </w:p>
    <w:p>
      <w:r>
        <w:t xml:space="preserve">Der Richter hat über den Hergang bei der Beratung und Abstimmung auch nach Beendigung seines Dienstverhältnisses zu schweigen.</w:t>
      </w:r>
    </w:p>
    <w:p>
      <w:r>
        <w:rPr>
          <w:color w:val="555555"/>
          <w:sz w:val="17"/>
        </w:rPr>
        <w:t xml:space="preserve">Zitiervorschlag: § 43 DRiG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https://recht.nulegal.eu/gesetze/DRiG/43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