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DRiG — Rechtsgutachten</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Ein Richter darf weder außerdienstlich Rechtsgutachten erstatten, noch entgeltlich Rechtsauskünfte erteilen.</w:t>
      </w:r>
    </w:p>
    <w:p>
      <w:r>
        <w:t xml:space="preserve">(2) Ein beamteter Professor der Rechte oder der politischen Wissenschaften, der gleichzeitig Richter ist, darf mit Genehmigung der obersten Dienstbehörde der Gerichtsverwaltung Rechtsgutachten erstatten und Rechtsauskünfte erteilen. Die Genehmigung darf allgemein oder für den Einzelfall nur erteilt werden, wenn die richterliche Tätigkeit des Professors nicht über den Umfang einer Nebentätigkeit hinausgeht und nicht zu besorgen ist, daß dienstliche Interessen beeinträchtigt werden.</w:t>
      </w:r>
    </w:p>
    <w:p>
      <w:r>
        <w:rPr>
          <w:color w:val="555555"/>
          <w:sz w:val="17"/>
        </w:rPr>
        <w:t xml:space="preserve">Zitiervorschlag: § 41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