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DRiG — Versetzung im Interesse der Rechtspflege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Ein Richter auf Lebenszeit oder ein Richter auf Zeit kann</w:t>
      </w:r>
    </w:p>
    <w:p>
      <w:pPr>
        <w:ind w:left="420"/>
      </w:pPr>
      <w:r>
        <w:t xml:space="preserve">1. in ein anderes Richteramt mit gleichem Endgrundgehalt,</w:t>
      </w:r>
    </w:p>
    <w:p>
      <w:pPr>
        <w:ind w:left="420"/>
      </w:pPr>
      <w:r>
        <w:t xml:space="preserve">2. in den einstweiligen Ruhestand oder</w:t>
      </w:r>
    </w:p>
    <w:p>
      <w:pPr>
        <w:ind w:left="420"/>
      </w:pPr>
      <w:r>
        <w:t xml:space="preserve">3. in den Ruhestand</w:t>
      </w:r>
    </w:p>
    <w:p>
      <w:r>
        <w:t xml:space="preserve">versetzt werden, wenn Tatsachen außerhalb seiner richterlichen Tätigkeit eine Maßnahme dieser Art zwingend gebieten, um eine schwere Beeinträchtigung der Rechtspflege abzuwenden.</w:t>
      </w:r>
    </w:p>
    <w:p>
      <w:r>
        <w:rPr>
          <w:color w:val="555555"/>
          <w:sz w:val="17"/>
        </w:rPr>
        <w:t xml:space="preserve">Zitiervorschlag: § 31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