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DRiG — Versetzung und Amtsenthebung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Ein Richter auf Lebenszeit oder ein Richter auf Zeit kann ohne seine schriftliche Zustimmung nur</w:t>
      </w:r>
    </w:p>
    <w:p>
      <w:pPr>
        <w:ind w:left="420"/>
      </w:pPr>
      <w:r>
        <w:t xml:space="preserve">1. im Verfahren über die Richteranklage (Artikel 98 Abs. 2 und 5 des Grundgesetzes),</w:t>
      </w:r>
    </w:p>
    <w:p>
      <w:pPr>
        <w:ind w:left="420"/>
      </w:pPr>
      <w:r>
        <w:t xml:space="preserve">2. im gerichtlichen Disziplinarverfahren,</w:t>
      </w:r>
    </w:p>
    <w:p>
      <w:pPr>
        <w:ind w:left="420"/>
      </w:pPr>
      <w:r>
        <w:t xml:space="preserve">3. im Interesse der Rechtspflege (§ 31),</w:t>
      </w:r>
    </w:p>
    <w:p>
      <w:pPr>
        <w:ind w:left="420"/>
      </w:pPr>
      <w:r>
        <w:t xml:space="preserve">4. bei Veränderung der Gerichtsorganisation (§ 32)</w:t>
      </w:r>
    </w:p>
    <w:p>
      <w:r>
        <w:t xml:space="preserve">in ein anderes Amt versetzt oder seines Amtes enthoben werden.</w:t>
      </w:r>
    </w:p>
    <w:p>
      <w:r>
        <w:t xml:space="preserve">(2) Die Versetzung oder Amtsenthebung kann - außer im Fall des Absatzes 1 Nr. 4 - nur auf Grund rechtskräftiger richterlicher Entscheidung ausgesprochen werden.</w:t>
      </w:r>
    </w:p>
    <w:p>
      <w:r>
        <w:t xml:space="preserve">(3) Der Versetzung steht es gleich, wenn ein Richter, der mehrere Richterämter innehat, eines Amtes enthoben wird.</w:t>
      </w:r>
    </w:p>
    <w:p>
      <w:r>
        <w:rPr>
          <w:color w:val="555555"/>
          <w:sz w:val="17"/>
        </w:rPr>
        <w:t xml:space="preserve">Zitiervorschlag: § 30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