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DRiG — Übertragung eines Richteramts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Dem Richter auf Lebenszeit und dem Richter auf Zeit ist ein Richteramt bei einem bestimmten Gericht zu übertragen.</w:t>
      </w:r>
    </w:p>
    <w:p>
      <w:r>
        <w:t xml:space="preserve">(2) Ihm kann ein weiteres Richteramt bei einem anderen Gericht übertragen werden, soweit ein Gesetz dies zuläßt.</w:t>
      </w:r>
    </w:p>
    <w:p>
      <w:r>
        <w:rPr>
          <w:color w:val="555555"/>
          <w:sz w:val="17"/>
        </w:rPr>
        <w:t xml:space="preserve">Zitiervorschlag: § 27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