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DRiG — Dienstaufsicht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Richter untersteht einer Dienstaufsicht nur, soweit nicht seine Unabhängigkeit beeinträchtigt wird.</w:t>
      </w:r>
    </w:p>
    <w:p>
      <w:r>
        <w:t xml:space="preserve">(2) Die Dienstaufsicht umfaßt vorbehaltlich des Absatzes 1 auch die Befugnis, die ordnungswidrige Art der Ausführung eines Amtsgeschäfts vorzuhalten und zu ordnungsgemäßer, unverzögerter Erledigung der Amtsgeschäfte zu ermahnen.</w:t>
      </w:r>
    </w:p>
    <w:p>
      <w:r>
        <w:t xml:space="preserve">(3) Behauptet der Richter, daß eine Maßnahme der Dienstaufsicht seine Unabhängigkeit beeinträchtige, so entscheidet auf Antrag des Richters ein Gericht nach Maßgabe dieses Gesetzes.</w:t>
      </w:r>
    </w:p>
    <w:p>
      <w:r>
        <w:rPr>
          <w:color w:val="555555"/>
          <w:sz w:val="17"/>
        </w:rPr>
        <w:t xml:space="preserve">Zitiervorschlag: § 26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