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DRiG — Beendigung des Dienstverhältnisses durch richterliche Entscheidung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Wird gegen einen Richter durch Urteil eines deutschen Gerichts im Geltungsbereich dieses Gesetzes erkannt auf</w:t>
      </w:r>
    </w:p>
    <w:p>
      <w:pPr>
        <w:ind w:left="420"/>
      </w:pPr>
      <w:r>
        <w:t xml:space="preserve">1. Freiheitsstrafe von mindestens einem Jahr wegen einer vorsätzlichen Tat,</w:t>
      </w:r>
    </w:p>
    <w:p>
      <w:pPr>
        <w:ind w:left="420"/>
      </w:pPr>
      <w:r>
        <w:t xml:space="preserve">1a. Freiheitsstrafe von mindestens sechs Monaten wegen einer Tat, die nach § 130 des Strafgesetzbuchs (Volksverhetzung) strafbar ist,</w:t>
      </w:r>
    </w:p>
    <w:p>
      <w:pPr>
        <w:ind w:left="420"/>
      </w:pPr>
      <w:r>
        <w:t xml:space="preserve">2. Freiheitsstrafe wegen einer vorsätzlichen Tat, die nach den Vorschriften über Friedensverrat, Hochverrat, Gefährdung des demokratischen Rechtsstaates oder Landesverrat und Gefährdung der äußeren Sicherheit strafbar ist,</w:t>
      </w:r>
    </w:p>
    <w:p>
      <w:pPr>
        <w:ind w:left="420"/>
      </w:pPr>
      <w:r>
        <w:t xml:space="preserve">3. Aberkennung der Fähigkeit zur Bekleidung öffentlicher Ämter oder</w:t>
      </w:r>
    </w:p>
    <w:p>
      <w:pPr>
        <w:ind w:left="420"/>
      </w:pPr>
      <w:r>
        <w:t xml:space="preserve">4. Verwirkung eines Grundrechts gemäß Artikel 18 des Grundgesetzes,</w:t>
      </w:r>
    </w:p>
    <w:p>
      <w:r>
        <w:t xml:space="preserve">so endet das Richterverhältnis mit der Rechtskraft dieses Urteils, ohne daß es einer weiteren gerichtlichen Entscheidung bedarf.</w:t>
      </w:r>
    </w:p>
    <w:p>
      <w:r>
        <w:rPr>
          <w:color w:val="555555"/>
          <w:sz w:val="17"/>
        </w:rPr>
        <w:t xml:space="preserve">Zitiervorschlag: § 24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https://recht.nulegal.eu/gesetze/DRiG/24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