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DRiG — Entlassung eines Richters auf Probe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Ein Richter auf Probe kann zum Ablauf des sechsten, zwölften, achtzehnten oder vierundzwanzigsten Monats nach seiner Ernennung entlassen werden.</w:t>
      </w:r>
    </w:p>
    <w:p>
      <w:r>
        <w:t xml:space="preserve">(2) Ein Richter auf Probe kann zum Ablauf des dritten oder vierten Jahres entlassen werden,</w:t>
      </w:r>
    </w:p>
    <w:p>
      <w:pPr>
        <w:ind w:left="420"/>
      </w:pPr>
      <w:r>
        <w:t xml:space="preserve">1. wenn er für das Richteramt nicht geeignet ist oder</w:t>
      </w:r>
    </w:p>
    <w:p>
      <w:pPr>
        <w:ind w:left="420"/>
      </w:pPr>
      <w:r>
        <w:t xml:space="preserve">2. wenn ein Richterwahlausschuß seine Übernahme in das Richterverhältnis auf Lebenszeit oder auf Zeit ablehnt.</w:t>
      </w:r>
    </w:p>
    <w:p>
      <w:r>
        <w:t xml:space="preserve">(3) Ein Richter auf Probe kann ferner bei einem Verhalten, das bei Richtern auf Lebenszeit eine im gerichtlichen Disziplinarverfahren zu verhängende Disziplinarmaßnahme zur Folge hätte, entlassen werden.</w:t>
      </w:r>
    </w:p>
    <w:p>
      <w:r>
        <w:t xml:space="preserve">(4) Die Fristen der Absätze 1 und 2 verlängern sich um die Zeit einer Beurlaubung ohne Bezüge.</w:t>
      </w:r>
    </w:p>
    <w:p>
      <w:r>
        <w:t xml:space="preserve">(5) In den Fällen der Absätze 1 und 2 ist die Entlassungsverfügung dem Richter mindestens sechs Wochen vor dem Entlassungstag mitzuteilen.</w:t>
      </w:r>
    </w:p>
    <w:p>
      <w:r>
        <w:rPr>
          <w:color w:val="555555"/>
          <w:sz w:val="17"/>
        </w:rPr>
        <w:t xml:space="preserve">Zitiervorschlag: § 22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