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DRiG — Allgemeines Dienstalter</w:t>
      </w:r>
    </w:p>
    <w:p>
      <w:r>
        <w:rPr>
          <w:color w:val="555555"/>
          <w:sz w:val="18"/>
        </w:rPr>
        <w:t xml:space="preserve">Deutsches Richtergesetz</w:t>
      </w:r>
    </w:p>
    <w:p>
      <w:r>
        <w:rPr>
          <w:color w:val="555555"/>
          <w:sz w:val="18"/>
        </w:rPr>
        <w:t xml:space="preserve">Stand: 01.08.2021 (konsolidierte Textfassung, kein amtliches Inkrafttretensdatum)</w:t>
      </w:r>
    </w:p>
    <w:p>
      <w:r>
        <w:t xml:space="preserve">Das allgemeine Dienstalter eines Richters bestimmt sich nach dem Tag, an dem ihm sein Richteramt übertragen worden ist. Hat der Richter zuvor ein anderes Richteramt oder ein sonstiges Amt mit mindestens dem gleichen Anfangsgrundgehalt bekleidet, so bestimmt sich das allgemeine Dienstalter nach dem Tag der Übertragung dieses Amtes.</w:t>
      </w:r>
    </w:p>
    <w:p>
      <w:r>
        <w:rPr>
          <w:color w:val="555555"/>
          <w:sz w:val="17"/>
        </w:rPr>
        <w:t xml:space="preserve">Zitiervorschlag: § 20 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