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DRiG — Nichtigkeit der Ernennung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Eine Ernennung ist nichtig, wenn sie von einer sachlich unzuständigen Behörde ausgesprochen wurde. Die Ernennung kann nicht rückwirkend bestätigt werden.</w:t>
      </w:r>
    </w:p>
    <w:p>
      <w:r>
        <w:t xml:space="preserve">(2) Eine Ernennung ist ferner nichtig, wenn der Ernannte im Zeitpunkt der Ernennung</w:t>
      </w:r>
    </w:p>
    <w:p>
      <w:pPr>
        <w:ind w:left="420"/>
      </w:pPr>
      <w:r>
        <w:t xml:space="preserve">1. nicht Deutscher im Sinne des Artikels 116 des Grundgesetzes war oder</w:t>
      </w:r>
    </w:p>
    <w:p>
      <w:pPr>
        <w:ind w:left="420"/>
      </w:pPr>
      <w:r>
        <w:t xml:space="preserve">2. (weggefallen)</w:t>
      </w:r>
    </w:p>
    <w:p>
      <w:pPr>
        <w:ind w:left="420"/>
      </w:pPr>
      <w:r>
        <w:t xml:space="preserve">3. nicht die Fähigkeit zur Bekleidung öffentlicher Ämter hatte.</w:t>
      </w:r>
    </w:p>
    <w:p>
      <w:r>
        <w:t xml:space="preserve">(3) Die Nichtigkeit einer Ernennung zum Richter auf Lebenszeit oder zum Richter auf Zeit kann erst geltend gemacht werden, nachdem ein Gericht sie rechtskräftig festgestellt hat.</w:t>
      </w:r>
    </w:p>
    <w:p>
      <w:r>
        <w:rPr>
          <w:color w:val="555555"/>
          <w:sz w:val="17"/>
        </w:rPr>
        <w:t xml:space="preserve">Zitiervorschlag: § 18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