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DRiG — Dauer der Verwendung als Richter kraft Auftrags</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Spätestens zwei Jahre nach seiner Ernennung ist der Richter kraft Auftrags zum Richter auf Lebenszeit zu ernennen oder einem Richterwahlausschuß zur Wahl vorzuschlagen. Lehnt der Richter die Ernennung ab, so endet das Richterverhältnis kraft Auftrags.</w:t>
      </w:r>
    </w:p>
    <w:p>
      <w:r>
        <w:t xml:space="preserve">(2) Für die Verwendung des Richters kraft Auftrags gelten die Vorschriften für Richter auf Probe entsprechend.</w:t>
      </w:r>
    </w:p>
    <w:p>
      <w:r>
        <w:rPr>
          <w:color w:val="555555"/>
          <w:sz w:val="17"/>
        </w:rPr>
        <w:t xml:space="preserve">Zitiervorschlag: § 16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https://recht.nulegal.eu/gesetze/DRiG/16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