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DRiG — Besetzung der Berufsgerichte für Rechtsanwälte</w:t>
      </w:r>
    </w:p>
    <w:p>
      <w:r>
        <w:rPr>
          <w:color w:val="555555"/>
          <w:sz w:val="18"/>
        </w:rPr>
        <w:t xml:space="preserve">Deutsches Richtergesetz</w:t>
      </w:r>
    </w:p>
    <w:p>
      <w:r>
        <w:rPr>
          <w:color w:val="555555"/>
          <w:sz w:val="18"/>
        </w:rPr>
        <w:t xml:space="preserve">Stand: 01.08.2021 (konsolidierte Textfassung, kein amtliches Inkrafttretensdatum)</w:t>
      </w:r>
    </w:p>
    <w:p>
      <w:r>
        <w:t xml:space="preserve">§ 94 Abs. 1 und § 101 Abs. 3 der Bundesrechtsanwaltsordnung werden durch dieses Gesetz nicht berührt. Die Landesjustizverwaltung bestimmt das Gericht, vor dem die ehrenamtlichen Richter, die Vorsitzende eines Anwaltsgerichts oder eines Anwaltgerichtshofes sind, auf ihr Amt verpflichtet werden.</w:t>
      </w:r>
    </w:p>
    <w:p>
      <w:r>
        <w:rPr>
          <w:color w:val="555555"/>
          <w:sz w:val="17"/>
        </w:rPr>
        <w:t xml:space="preserve">Zitiervorschlag: § 123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