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 DRiG — Richter im Bundesdienst als Mitglieder der gesetzgebenden Körperschaft eines Landes</w:t>
      </w:r>
    </w:p>
    <w:p>
      <w:r>
        <w:rPr>
          <w:color w:val="555555"/>
          <w:sz w:val="18"/>
        </w:rPr>
        <w:t xml:space="preserve">Deutsches Richtergesetz</w:t>
      </w:r>
    </w:p>
    <w:p>
      <w:r>
        <w:rPr>
          <w:color w:val="555555"/>
          <w:sz w:val="18"/>
        </w:rPr>
        <w:t xml:space="preserve">Stand: 01.08.2021 (konsolidierte Textfassung, kein amtliches Inkrafttretensdatum)</w:t>
      </w:r>
    </w:p>
    <w:p>
      <w:r>
        <w:t xml:space="preserve">Für die Rechtsstellung der nach dem 1. Juni 1978 in die gesetzgebende Körperschaft eines Landes gewählten Richter im Bundesdienst gelten die für in den Deutschen Bundestag gewählte Richter maßgebenden Vorschriften in den §§ 5 bis 7, 23 Abs. 5 und in § 36 Abs. 1 des Abgeordnetengesetzes vom 18. Februar 1977 (BGBl. I S. 297) entsprechend. Steht dem Richter auf Grund seiner Mitgliedschaft in der gesetzgebenden Körperschaft keine Entschädigung mit Alimentationscharakter zu, werden ihm fünfzig vom Hundert seiner zuletzt bezogenen Besoldung weitergewährt; allgemeine Besoldungserhöhungen nach § 14 des Bundesbesoldungsgesetzes werden berücksichtigt.</w:t>
      </w:r>
    </w:p>
    <w:p>
      <w:r>
        <w:rPr>
          <w:color w:val="555555"/>
          <w:sz w:val="17"/>
        </w:rPr>
        <w:t xml:space="preserve">Zitiervorschlag: § 121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