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112 DRiG — Anerkennung ausländischer Prüfungen und im Ausland erworbener Ausbildungsnachweise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Vorschriften über die Anerkennung von Prüfungen nach dem Bundesvertriebenengesetz und landesrechtliche Vorschriften über die Anerkennung der universitären Schwerpunktbereichsprüfung werden durch dieses Gesetz nicht berührt.</w:t>
      </w:r>
    </w:p>
    <w:p>
      <w:r>
        <w:t xml:space="preserve">(2) Juristische Prüfungen, die Deutsche aus dem in Artikel 3 des Einigungsvertrages genannten Gebiet vor dem 3. Oktober 1990 im Ausland abgelegt haben, sind als erste Staatsprüfung nach § 5 Abs. 1 anzuerkennen, wenn sie in der Deutschen Demokratischen Republik durch völkerrechtliche Vereinbarung mit der Sowjetunion oder mit Staaten in Mittel- oder Osteuropa, die mit der Sowjetunion verbündet waren, oder durch Rechtsvorschrift dem Abschluß als Diplom-Jurist gleichgestellt wurden und der ersten Staatsprüfung gleichwertig sind.</w:t>
      </w:r>
    </w:p>
    <w:p>
      <w:r>
        <w:t xml:space="preserve">(3) Das Berufsqualifikationsfeststellungsgesetz ist nicht anzuwenden.</w:t>
      </w:r>
    </w:p>
    <w:p>
      <w:r>
        <w:rPr>
          <w:color w:val="555555"/>
          <w:sz w:val="17"/>
        </w:rPr>
        <w:t xml:space="preserve">Zitiervorschlag: § 112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