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 DRiG — Überleitungsvorschriften für Richter auf Lebenszeit und auf Zeit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Außer Kraft: § 105 ist seit 01.08.2021 nicht mehr im DRiG enthalten. Angezeigt wird die letzte bekannte Fassung, Stand 10.06.2019.</w:t>
      </w:r>
    </w:p>
    <w:p>
      <w:r>
        <w:t xml:space="preserve">(1) Wer vor Inkrafttreten dieses Gesetzes in ein öffentlich-rechtliches Dienstverhältnis auf Lebenszeit oder auf Zeit berufen ist und ein Richteramt als Hauptamt innehat, erhält die Rechtsstellung eines Richters auf Lebenszeit oder auf Zeit im Sinne dieses Gesetzes.</w:t>
      </w:r>
    </w:p>
    <w:p>
      <w:r>
        <w:t xml:space="preserve">(2) Wer bei Inkrafttreten dieses Gesetzes die Befähigung zum Richteramt nicht besitzt, kann bei einem Gericht nur entsprechend den bis zum Inkrafttreten dieses Gesetzes geltenden Vorschriften weiterverwendet werden.</w:t>
      </w:r>
    </w:p>
    <w:p>
      <w:r>
        <w:t xml:space="preserve">(3) Wer nach dem 8. Mai 1945 aus Anlaß der Übertragung eines Richteramts einen Eid geleistet hat, ist von der Pflicht zur Leistung des Richtereides (§ 38) befreit.</w:t>
      </w:r>
    </w:p>
    <w:p>
      <w:r>
        <w:rPr>
          <w:color w:val="555555"/>
          <w:sz w:val="17"/>
        </w:rPr>
        <w:t xml:space="preserve">Zitiervorschlag: § 105 DRiG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https://recht.nulegal.eu/gesetze/DRiG/105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