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DRiG — Ernennung auf Lebenszeit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Zum Richter auf Lebenszeit kann ernannt werden, wer nach Erwerb der Befähigung zum Richteramt mindestens drei Jahre im richterlichen Dienst tätig gewesen ist.</w:t>
      </w:r>
    </w:p>
    <w:p>
      <w:r>
        <w:t xml:space="preserve">(2) Auf die Zeit nach Absatz 1 können angerechnet werden Tätigkeiten</w:t>
      </w:r>
    </w:p>
    <w:p>
      <w:pPr>
        <w:ind w:left="420"/>
      </w:pPr>
      <w:r>
        <w:t xml:space="preserve">1. als Beamter des höheren Dienstes,</w:t>
      </w:r>
    </w:p>
    <w:p>
      <w:pPr>
        <w:ind w:left="420"/>
      </w:pPr>
      <w:r>
        <w:t xml:space="preserve">2. im deutschen öffentlichen Dienst oder im Dienst einer zwischenstaatlichen oder überstaatlichen Einrichtung, wenn die Tätigkeit nach Art und Bedeutung der Tätigkeit in einem Amt des höheren Dienstes entsprochen hat,</w:t>
      </w:r>
    </w:p>
    <w:p>
      <w:pPr>
        <w:ind w:left="420"/>
      </w:pPr>
      <w:r>
        <w:t xml:space="preserve">3. als habilitierter Lehrer des Rechts an einer deutschen wissenschaftlichen Hochschule,</w:t>
      </w:r>
    </w:p>
    <w:p>
      <w:pPr>
        <w:ind w:left="420"/>
      </w:pPr>
      <w:r>
        <w:t xml:space="preserve">4. als Rechtsanwalt, Notar oder als Assessor bei einem Rechtsanwalt oder Notar,</w:t>
      </w:r>
    </w:p>
    <w:p>
      <w:pPr>
        <w:ind w:left="420"/>
      </w:pPr>
      <w:r>
        <w:t xml:space="preserve">5. in anderen Berufen, wenn die Tätigkeit nach Art und Bedeutung wie die unter den Nummern 1 bis 4 genannten Tätigkeiten geeignet war, Kenntnisse und Erfahrungen für die Ausübung des Richteramts zu vermitteln.</w:t>
      </w:r>
    </w:p>
    <w:p>
      <w:r>
        <w:t xml:space="preserve">Die Anrechnung von mehr als zwei Jahren dieser Tätigkeiten setzt besondere Kenntnisse und Erfahrungen des zu Ernennenden voraus.</w:t>
      </w:r>
    </w:p>
    <w:p>
      <w:r>
        <w:rPr>
          <w:color w:val="555555"/>
          <w:sz w:val="17"/>
        </w:rPr>
        <w:t xml:space="preserve">Zitiervorschlag: § 10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