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DRKG 2008 — Rechtsstellung</w:t>
      </w:r>
    </w:p>
    <w:p>
      <w:r>
        <w:rPr>
          <w:color w:val="555555"/>
          <w:sz w:val="18"/>
        </w:rPr>
        <w:t xml:space="preserve">DRK-Gesetz</w:t>
      </w:r>
    </w:p>
    <w:p>
      <w:r>
        <w:rPr>
          <w:color w:val="555555"/>
          <w:sz w:val="18"/>
        </w:rPr>
        <w:t xml:space="preserve">Stand: 10.06.2019 (konsolidierte Textfassung, kein amtliches Inkrafttretensdatum)</w:t>
      </w:r>
    </w:p>
    <w:p>
      <w:r>
        <w:t xml:space="preserve">Das Deutsche Rote Kreuz e. V. ist die Nationale Gesellschaft des Roten Kreuzes auf dem Gebiet der Bundesrepublik Deutschland und freiwillige Hilfsgesellschaft der deutschen Behörden im humanitären Bereich. Es beachtet die Grundsätze der Internationalen Rotkreuz- und Rothalbmond-Bewegung.</w:t>
      </w:r>
    </w:p>
    <w:p>
      <w:r>
        <w:rPr>
          <w:color w:val="555555"/>
          <w:sz w:val="17"/>
        </w:rPr>
        <w:t xml:space="preserve">Zitiervorschlag: § 1 DRKG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https://recht.nulegal.eu/gesetze/DRKG%202008/1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