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DRG-EKV 2023</w:t>
      </w:r>
    </w:p>
    <w:p>
      <w:r>
        <w:rPr>
          <w:color w:val="555555"/>
          <w:sz w:val="18"/>
        </w:rPr>
        <w:t xml:space="preserve">DRG-Entgeltkatalogverordnung 2023</w:t>
      </w:r>
    </w:p>
    <w:p>
      <w:r>
        <w:rPr>
          <w:color w:val="555555"/>
          <w:sz w:val="18"/>
        </w:rPr>
        <w:t xml:space="preserve">Stand: 26.11.2022 (konsolidierte Textfassung, kein amtliches Inkrafttretensdatum)</w:t>
      </w:r>
    </w:p>
    <w:p>
      <w:r>
        <w:t xml:space="preserve">Auf Grund des § 17b Absatz 7 Satz 1 Nummer 1 des Krankenhausfinanzierungsgesetzes, der durch Artikel 2 Nummer 3 Buchstabe d Doppelbuchstabe aa Dreifachbuchstabe aaa des Gesetzes vom 11. Dezember 2018 (BGBl. I S. 2394) geändert worden ist, verordnet das Bundesministerium für Gesundheit:</w:t>
      </w:r>
    </w:p>
    <w:p>
      <w:r>
        <w:rPr>
          <w:color w:val="555555"/>
          <w:sz w:val="17"/>
        </w:rPr>
        <w:t xml:space="preserve">Zitiervorschlag: Eingangsformel DRG-EKV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https://recht.nulegal.eu/gesetze/DRG-EKV%202023/eingangsformel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