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DRG-EKV 2023 — Inkrafttreten</w:t>
      </w:r>
    </w:p>
    <w:p>
      <w:r>
        <w:rPr>
          <w:color w:val="555555"/>
          <w:sz w:val="18"/>
        </w:rPr>
        <w:t xml:space="preserve">DRG-Entgeltkatalogverordnung 2023</w:t>
      </w:r>
    </w:p>
    <w:p>
      <w:r>
        <w:rPr>
          <w:color w:val="555555"/>
          <w:sz w:val="18"/>
        </w:rPr>
        <w:t xml:space="preserve">Stand: 26.11.2022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DRG-EKV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https://recht.nulegal.eu/gesetze/DRG-EKV%202023/2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