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DPMAhtDAnO</w:t>
      </w:r>
    </w:p>
    <w:p>
      <w:r>
        <w:rPr>
          <w:color w:val="555555"/>
          <w:sz w:val="18"/>
        </w:rPr>
        <w:t xml:space="preserve">Anordnung über die Einstellung von Beamtinnen und Beamten in den höheren technischen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Abs. 1 der Anordnung des Bundespräsidenten über die Ernennung und Entlassung der Beamtinnen, Beamten, Richterinnen und Richter des Bundes vom 23. Juni 2004 (BGBl. I S. 1286) wird dem Präsidenten des Deutschen Patent- und Markenamtes widerruflich die Ausübung des Rechtes zur Einstellung von Beamtinnen und Beamten in den höheren technischen Dienst übertragen.</w:t>
      </w:r>
    </w:p>
    <w:p>
      <w:r>
        <w:rPr>
          <w:color w:val="555555"/>
          <w:sz w:val="17"/>
        </w:rPr>
        <w:t xml:space="preserve">Zitiervorschlag: I. DPMAhtDAnO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https://recht.nulegal.eu/gesetze/DPMAhtDAnO/i.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