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DPMAWidVertrAnO 2021</w:t>
      </w:r>
    </w:p>
    <w:p>
      <w:r>
        <w:rPr>
          <w:color w:val="555555"/>
          <w:sz w:val="18"/>
        </w:rPr>
        <w:t xml:space="preserve">Anordnung zur Übertragung der Zuständigkeit für den Erlass von Widerspruchsbescheiden sowie der Vertretung bei Klagen von Beamtinnen und Beamten des Deutschen Patent- und Markenamts in Angelegenheiten der Besoldung und des Reisekostenrechts</w:t>
      </w:r>
    </w:p>
    <w:p>
      <w:r>
        <w:rPr>
          <w:color w:val="555555"/>
          <w:sz w:val="18"/>
        </w:rPr>
        <w:t xml:space="preserve">Stand: 22.04.2021 (konsolidierte Textfassung, kein amtliches Inkrafttretensdatum)</w:t>
      </w:r>
    </w:p>
    <w:p>
      <w:r>
        <w:t xml:space="preserve">Die Bundesministerin der Justiz und für Verbraucherschutz</w:t>
      </w:r>
    </w:p>
    <w:p>
      <w:r>
        <w:rPr>
          <w:color w:val="555555"/>
          <w:sz w:val="17"/>
        </w:rPr>
        <w:t xml:space="preserve">Zitiervorschlag: Schlussformel DPMAWidVertrAnO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https://recht.nulegal.eu/gesetze/DPMAWidVertrAnO%202021/schlussformel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