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DPMAWidVertrAnO 2021 — Inkrafttreten, Außerkrafttreten</w:t>
      </w:r>
    </w:p>
    <w:p>
      <w:r>
        <w:rPr>
          <w:color w:val="555555"/>
          <w:sz w:val="18"/>
        </w:rPr>
        <w:t xml:space="preserve">Anordnung zur Übertragung der Zuständigkeit für den Erlass von Widerspruchsbescheiden sowie der Vertretung bei Klagen von Beamtinnen und Beamten des Deutschen Patent- und Markenamts in Angelegenheiten der Besoldung und des Reisekostenrechts</w:t>
      </w:r>
    </w:p>
    <w:p>
      <w:r>
        <w:rPr>
          <w:color w:val="555555"/>
          <w:sz w:val="18"/>
        </w:rPr>
        <w:t xml:space="preserve">Stand: 22.04.2021 (konsolidierte Textfassung, kein amtliches Inkrafttretensdatum)</w:t>
      </w:r>
    </w:p>
    <w:p>
      <w:r>
        <w:t xml:space="preserve">Diese Anordnung tritt am Tag nach der Veröffentlichung im Bundesgesetzblatt in Kraft. Gleichzeitig tritt die Anordnung zur Übertragung von Zuständigkeiten für den Erlass von Widerspruchsbescheiden und die Vertretung des Dienstherrn bei Klagen von Beamtinnen und Beamten des Deutschen Patent- und Markenamts in Angelegenheiten des Reisekostenrechts vom 5. März 2015 (BGBl. I S. 314) außer Kraft.</w:t>
      </w:r>
    </w:p>
    <w:p>
      <w:r>
        <w:rPr>
          <w:color w:val="555555"/>
          <w:sz w:val="17"/>
        </w:rPr>
        <w:t xml:space="preserve">Zitiervorschlag: § 4 DPMAWidVertrAnO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https://recht.nulegal.eu/gesetze/DPMAWidVertrAnO%202021/4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