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DPMAVwKostV 2006</w:t>
      </w:r>
    </w:p>
    <w:p>
      <w:r>
        <w:rPr>
          <w:color w:val="555555"/>
          <w:sz w:val="18"/>
        </w:rPr>
        <w:t xml:space="preserve">DPMA-Verwaltungskostenverordnung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Nr. 1 des Patentkostengesetzes vom 13. Dezember 2001 (BGBl. I S. 3656) und des § 138 Abs. 5 Nr. 2 des Urheberrechtsgesetzes vom 9. September 1965 (BGBl. I S. 1273), der zuletzt durch Artikel 16 Nr. 3 Buchstabe d Doppelbuchstabe bb des Gesetzes vom 13. Dezember 2001 (BGBl. I S. 3656) geändert worden ist, verordnet das Bundesministerium der Justiz:</w:t>
      </w:r>
    </w:p>
    <w:p>
      <w:r>
        <w:rPr>
          <w:color w:val="555555"/>
          <w:sz w:val="17"/>
        </w:rPr>
        <w:t xml:space="preserve">Zitiervorschlag: Eingangsformel DPMAVwKostV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https://recht.nulegal.eu/gesetze/DPMAVwKostV%202006/eingangsformel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