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DPMAVwKostV 2006 — Folgen der Nichtzahlung, Antragsrücknahme</w:t>
      </w:r>
    </w:p>
    <w:p>
      <w:r>
        <w:rPr>
          <w:color w:val="555555"/>
          <w:sz w:val="18"/>
        </w:rPr>
        <w:t xml:space="preserve">DPMA-Verwaltungskostenverordnung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der nach § 7 Abs. 1 Satz 1 angeforderte Kostenvorschuss nicht innerhalb der vom Deutschen Patent- und Markenamt gesetzten Frist gezahlt, gilt der Antrag als zurückgenommen.</w:t>
      </w:r>
    </w:p>
    <w:p>
      <w:r>
        <w:t xml:space="preserve">(2) Gilt ein Antrag nach Absatz 1 als zurückgenommen oder wird ein Antrag auf Vornahme einer gebührenpflichtigen Amtshandlung zurückgenommen, bevor die beantragte Amtshandlung vorgenommen wurde, entfällt die Gebühr.</w:t>
      </w:r>
    </w:p>
    <w:p>
      <w:r>
        <w:rPr>
          <w:color w:val="555555"/>
          <w:sz w:val="17"/>
        </w:rPr>
        <w:t xml:space="preserve">Zitiervorschlag: § 8 DPMAVwKostV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https://recht.nulegal.eu/gesetze/DPMAVwKostV%202006/8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DPMAVwKostV 2006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