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DPMAVwKostV 2006 — Kostenschuldner</w:t>
      </w:r>
    </w:p>
    <w:p>
      <w:r>
        <w:rPr>
          <w:color w:val="555555"/>
          <w:sz w:val="18"/>
        </w:rPr>
        <w:t xml:space="preserve">DPMA-Verwaltungskostenverordnung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Zahlung der Kosten ist verpflichtet,</w:t>
      </w:r>
    </w:p>
    <w:p>
      <w:pPr>
        <w:ind w:left="420"/>
      </w:pPr>
      <w:r>
        <w:t xml:space="preserve">1. wer die Amtshandlung veranlasst oder zu wessen Gunsten sie vorgenommen wird;</w:t>
      </w:r>
    </w:p>
    <w:p>
      <w:pPr>
        <w:ind w:left="420"/>
      </w:pPr>
      <w:r>
        <w:t xml:space="preserve">2. wem durch Entscheidung des Deutschen Patent- und Markenamts oder des Bundespatentgerichts die Kosten auferlegt sind;</w:t>
      </w:r>
    </w:p>
    <w:p>
      <w:pPr>
        <w:ind w:left="420"/>
      </w:pPr>
      <w:r>
        <w:t xml:space="preserve">3. wer die Kosten durch eine gegenüber dem Deutschen Patent- und Markenamt abgegebene oder dem Deutschen Patent- und Markenamt mitgeteilte Erklärung übernommen hat;</w:t>
      </w:r>
    </w:p>
    <w:p>
      <w:pPr>
        <w:ind w:left="420"/>
      </w:pPr>
      <w:r>
        <w:t xml:space="preserve">4. wer für die Kostenschuld eines anderen kraft Gesetzes haftet.</w:t>
      </w:r>
    </w:p>
    <w:p>
      <w:r>
        <w:t xml:space="preserve">(2) Mehrere Kostenschuldner haften als Gesamtschuldner.</w:t>
      </w:r>
    </w:p>
    <w:p>
      <w:r>
        <w:rPr>
          <w:color w:val="555555"/>
          <w:sz w:val="17"/>
        </w:rPr>
        <w:t xml:space="preserve">Zitiervorschlag: § 5 DPMAVwKostV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https://recht.nulegal.eu/gesetze/DPMAVwKostV%202006/5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