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DPMAVwKostV 2006 — Kosten</w:t>
      </w:r>
    </w:p>
    <w:p>
      <w:r>
        <w:rPr>
          <w:color w:val="555555"/>
          <w:sz w:val="18"/>
        </w:rPr>
        <w:t xml:space="preserve">DPMA-Verwaltungskostenverordnung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 bestimmen sich nach dem anliegenden Kostenverzeichnis.</w:t>
      </w:r>
    </w:p>
    <w:p>
      <w:r>
        <w:t xml:space="preserve">(2) Soweit sich aus Teil A des Kostenverzeichnisses nichts anderes ergibt, werden neben den Gebühren keine Auslagen nach Teil B des Kostenverzeichnisses erhoben. Wenn eine Gebühr für die Amtshandlung nicht vorgesehen ist, sind jedoch Auslagen zu erheben.</w:t>
      </w:r>
    </w:p>
    <w:p>
      <w:r>
        <w:rPr>
          <w:color w:val="555555"/>
          <w:sz w:val="17"/>
        </w:rPr>
        <w:t xml:space="preserve">Zitiervorschlag: § 2 DPMAVwKostV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https://recht.nulegal.eu/gesetze/DPMAVwKostV%202006/2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