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DPMAVwKostV 2006 — Verjährung, Verzinsung</w:t>
      </w:r>
    </w:p>
    <w:p>
      <w:r>
        <w:rPr>
          <w:color w:val="555555"/>
          <w:sz w:val="18"/>
        </w:rPr>
        <w:t xml:space="preserve">DPMA-Verwaltungskostenverordnung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Für die Verjährung und Verzinsung der Kostenforderungen und der Ansprüche auf Erstattung von Kosten gilt § 5 des Gerichtskostengesetzes entsprechend.</w:t>
      </w:r>
    </w:p>
    <w:p>
      <w:r>
        <w:rPr>
          <w:color w:val="555555"/>
          <w:sz w:val="17"/>
        </w:rPr>
        <w:t xml:space="preserve">Zitiervorschlag: § 13 DPMAVwKostV 2006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https://recht.nulegal.eu/gesetze/DPMAVwKostV%202006/13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