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DPMAVwKostV 2006 — Erinnerung, Beschwerde, gerichtliche Entscheidung</w:t>
      </w:r>
    </w:p>
    <w:p>
      <w:r>
        <w:rPr>
          <w:color w:val="555555"/>
          <w:sz w:val="18"/>
        </w:rPr>
        <w:t xml:space="preserve">DPMA-Verwaltungskostenverordnung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Kostenansatz kann der Kostenschuldner Erinnerung einlegen. Sie ist nicht an eine Frist gebunden. Über die Erinnerung oder eine Maßnahme nach den §§ 7 und 9 entscheidet die Stelle des Deutschen Patent- und Markenamts, die die Kosten angesetzt hat. Das Deutsche Patent- und Markenamt kann seine Entscheidung von Amts wegen ändern.</w:t>
      </w:r>
    </w:p>
    <w:p>
      <w:r>
        <w:t xml:space="preserve">(2) Gegen die Entscheidung des Deutschen Patent- und Markenamts über die Erinnerung in Patent-, Gebrauchsmuster-, Topographieschutz-, Marken- und Designsachen kann der Kostenschuldner Beschwerde einlegen. Eine Beschwerde gegen die Entscheidung des Bundespatentgerichts über den Kostenansatz findet nicht statt.</w:t>
      </w:r>
    </w:p>
    <w:p>
      <w:r>
        <w:t xml:space="preserve">(3) Erinnerung und Beschwerde sind schriftlich oder zu Protokoll der Geschäftsstelle beim Deutschen Patent- und Markenamt einzulegen. Die Beschwerde ist nicht an eine Frist gebunden. Erachtet das Deutsche Patent- und Markenamt die Beschwerde für begründet, hat es ihr abzuhelfen. Wird der Beschwerde nicht abgeholfen, ist sie dem Bundespatentgericht vorzulegen.</w:t>
      </w:r>
    </w:p>
    <w:p>
      <w:r>
        <w:t xml:space="preserve">(4) In Urheberrechtssachen kann der Kostenschuldner gegen eine Entscheidung des Deutschen Patent- und Markenamts nach Absatz 1 innerhalb einer Frist von zwei Wochen nach der Zustellung gerichtliche Entscheidung beantragen. Der Antrag ist schriftlich oder zu Protokoll der Geschäftsstelle beim Deutschen Patent- und Markenamt zu stellen. Erachtet das Deutsche Patent- und Markenamt den Antrag für begründet, hat es ihm abzuhelfen. Wird dem Antrag nicht abgeholfen, ist er dem nach § 138 Abs. 2 Satz 2 des Urheberrechtsgesetzes zuständigen Gericht vorzulegen.</w:t>
      </w:r>
    </w:p>
    <w:p>
      <w:r>
        <w:rPr>
          <w:color w:val="555555"/>
          <w:sz w:val="17"/>
        </w:rPr>
        <w:t xml:space="preserve">Zitiervorschlag: § 12 DPMAVwKostV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https://recht.nulegal.eu/gesetze/DPMAVwKostV%202006/12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