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DPMAV 2004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27 Abs. 5, der §§ 28, 29 Abs. 3, des § 34 Abs. 6 und 8, des § 43 Abs. 8 Nr. 2 und des § 63 Abs. 4 des Patentgesetzes in der Fassung der Bekanntmachung vom 16. Dezember 1980 (BGBl. 1981 I S. 1), von denen § 27 Abs. 5 zuletzt durch Artikel 7 Nr. 10, § 29 Abs. 3 durch Artikel 7 Nr. 12, § 34 Abs. 6 und 8 durch Artikel 7 Nr. 16 Buchstabe a bis c sowie § 63 Abs. 4 zuletzt durch Artikel 7 Nr. 27 Buchstabe b Doppelbuchstabe bb des Gesetzes vom 13. Dezember 2001 (BGBl. I S. 3656) und § 28 durch Artikel 2 Abs. 7 Nr. 1 des Gesetzes vom 12. März 2004 (BGBl. I S. 390) geändert worden sind,</w:t>
      </w:r>
    </w:p>
    <w:p>
      <w:pPr>
        <w:ind w:left="420"/>
      </w:pPr>
      <w:r>
        <w:t xml:space="preserve">- des § 4 Abs. 4 und 7, § 10 Abs. 2 und des § 29 des Gebrauchsmustergesetzes in der Fassung der Bekanntmachung vom 28. August 1986 (BGBl. I S. 1455), von denen § 4 Abs. 4 und 7 durch Artikel 8 Nr. 1 Buchstabe a, c und d sowie § 10 Abs. 2 durch Artikel 8 Nr. 5 des Gesetzes vom 13. Dezember 2001 (BGBl. I S. 3656), § 29 durch Artikel 2 Abs. 8 Nr. 3 des Gesetzes vom 12. März 2004 (BGBl. I S. 390) geändert worden sind,</w:t>
      </w:r>
    </w:p>
    <w:p>
      <w:pPr>
        <w:ind w:left="420"/>
      </w:pPr>
      <w:r>
        <w:t xml:space="preserve">- des § 65 sowie des § 138 Abs. 2 des Markengesetzes vom 25. Oktober 1994 (BGBl. I S. 3084, 1995 I S. 156), von denen § 138 Abs. 2 durch Artikel 9 Nr. 32 des Gesetzes vom 13. Dezember 2001 (BGBl. I S. 3656) und § 65 Abs. 1 Nr. 1 durch Artikel 2 Abs. 9 Nr. 7 des Gesetzes vom 12. März 2004 (BGBl. I S. 390) geändert worden sind,</w:t>
      </w:r>
    </w:p>
    <w:p>
      <w:pPr>
        <w:ind w:left="420"/>
      </w:pPr>
      <w:r>
        <w:t xml:space="preserve">- des § 3 Abs. 3 und des § 4 Abs. 4 des Halbleiterschutzgesetzes vom 22. Oktober 1987 (BGBl. I S. 2294) in Verbindung mit § 10 Abs. 2 des Gebrauchsmustergesetzes in der Fassung der Bekanntmachung vom 28. August 1986 (BGBl. I S. 1455), von denen § 3 Abs. 3 durch Artikel 2 Abs. 15 des Gesetzes vom 12. März 2004 (BGBl. I S. 390) geändert worden ist, und</w:t>
      </w:r>
    </w:p>
    <w:p>
      <w:pPr>
        <w:ind w:left="420"/>
      </w:pPr>
      <w:r>
        <w:t xml:space="preserve">- des § 26 Abs. 1, 2 und 4 des Geschmacksmustergesetzes vom 12. März 2004 (BGBl. I S. 390)</w:t>
      </w:r>
    </w:p>
    <w:p>
      <w:r>
        <w:t xml:space="preserve">sowie in Verbindung mit Artikel 28 des Gesetzes vom 16. Juli 1998 (BGBl. I S. 1827) und Artikel 29 des Gesetzes vom 13. Dezember 2001 (BGBl. I S. 3656) verordnet das Bundesministerium der Justiz:</w:t>
      </w:r>
    </w:p>
    <w:p>
      <w:r>
        <w:rPr>
          <w:color w:val="555555"/>
          <w:sz w:val="17"/>
        </w:rPr>
        <w:t xml:space="preserve">Zitiervorschlag: Eingangsformel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