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DPMAV 2004 — Behandlung von Eingängen, Empfangsbestätigung</w:t>
      </w:r>
    </w:p>
    <w:p>
      <w:r>
        <w:rPr>
          <w:color w:val="555555"/>
          <w:sz w:val="18"/>
        </w:rPr>
        <w:t xml:space="preserve">DPMA-Verordnung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Akten wird der Tag des Eingangs vermerkt.</w:t>
      </w:r>
    </w:p>
    <w:p>
      <w:r>
        <w:t xml:space="preserve">(2) Bei Schutzrechtsanmeldungen übermittelt das Deutsche Patent- und Markenamt dem Anmelder unverzüglich eine Empfangsbestätigung, die das angemeldete Schutzrecht bezeichnet und das Aktenzeichen der Anmeldung sowie den Tag des Eingangs der Anmeldung angibt.</w:t>
      </w:r>
    </w:p>
    <w:p>
      <w:r>
        <w:rPr>
          <w:color w:val="555555"/>
          <w:sz w:val="17"/>
        </w:rPr>
        <w:t xml:space="preserve">Zitiervorschlag: § 8 DPMAV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https://recht.nulegal.eu/gesetze/DPMAV%202004/8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